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CC83" w14:textId="46916F05" w:rsidR="00DD3956" w:rsidRPr="00A178B3" w:rsidRDefault="00DD3956" w:rsidP="00597A91">
      <w:pPr>
        <w:ind w:left="5103"/>
        <w:jc w:val="right"/>
        <w:rPr>
          <w:bCs/>
          <w:sz w:val="22"/>
          <w:szCs w:val="22"/>
          <w:shd w:val="clear" w:color="auto" w:fill="FFFFFF"/>
        </w:rPr>
      </w:pPr>
      <w:r w:rsidRPr="00A178B3">
        <w:rPr>
          <w:bCs/>
          <w:noProof/>
          <w:sz w:val="22"/>
          <w:szCs w:val="22"/>
          <w:lang w:eastAsia="lv-LV"/>
        </w:rPr>
        <w:t xml:space="preserve">Iepirkuma </w:t>
      </w:r>
      <w:r w:rsidRPr="00A178B3">
        <w:rPr>
          <w:bCs/>
          <w:sz w:val="22"/>
          <w:szCs w:val="22"/>
          <w:shd w:val="clear" w:color="auto" w:fill="FFFFFF"/>
        </w:rPr>
        <w:t>„</w:t>
      </w:r>
      <w:r w:rsidR="00A178B3" w:rsidRPr="00A178B3">
        <w:rPr>
          <w:bCs/>
          <w:color w:val="000000"/>
          <w:kern w:val="36"/>
          <w:sz w:val="22"/>
          <w:szCs w:val="22"/>
        </w:rPr>
        <w:t xml:space="preserve">Memoriāla Otrā pasaules kara upuriem Biķerniekos </w:t>
      </w:r>
      <w:r w:rsidR="00A178B3" w:rsidRPr="00A178B3">
        <w:rPr>
          <w:sz w:val="22"/>
          <w:szCs w:val="22"/>
        </w:rPr>
        <w:t>betona stabu atjaunošana</w:t>
      </w:r>
      <w:r w:rsidRPr="00A178B3">
        <w:rPr>
          <w:sz w:val="22"/>
          <w:szCs w:val="22"/>
          <w:shd w:val="clear" w:color="auto" w:fill="FFFFFF"/>
        </w:rPr>
        <w:t>”,</w:t>
      </w:r>
    </w:p>
    <w:p w14:paraId="5C4E9CF9" w14:textId="3A45CCBB" w:rsidR="00DD3956" w:rsidRPr="00A178B3" w:rsidRDefault="00DD3956" w:rsidP="00597A91">
      <w:pPr>
        <w:ind w:left="5103"/>
        <w:jc w:val="right"/>
        <w:rPr>
          <w:bCs/>
          <w:sz w:val="22"/>
          <w:szCs w:val="22"/>
          <w:shd w:val="clear" w:color="auto" w:fill="FFFFFF"/>
        </w:rPr>
      </w:pPr>
      <w:r w:rsidRPr="00A178B3">
        <w:rPr>
          <w:bCs/>
          <w:sz w:val="22"/>
          <w:szCs w:val="22"/>
          <w:shd w:val="clear" w:color="auto" w:fill="FFFFFF"/>
        </w:rPr>
        <w:t>Identifikācijas Nr. PA RPA 2023/</w:t>
      </w:r>
      <w:r w:rsidR="00A178B3" w:rsidRPr="00A178B3">
        <w:rPr>
          <w:bCs/>
          <w:sz w:val="22"/>
          <w:szCs w:val="22"/>
          <w:shd w:val="clear" w:color="auto" w:fill="FFFFFF"/>
        </w:rPr>
        <w:t>7</w:t>
      </w:r>
      <w:r w:rsidRPr="00A178B3">
        <w:rPr>
          <w:bCs/>
          <w:sz w:val="22"/>
          <w:szCs w:val="22"/>
          <w:shd w:val="clear" w:color="auto" w:fill="FFFFFF"/>
        </w:rPr>
        <w:t xml:space="preserve"> </w:t>
      </w:r>
    </w:p>
    <w:p w14:paraId="4EE8DF10" w14:textId="27C70A0C" w:rsidR="00DD3956" w:rsidRPr="00597A91" w:rsidRDefault="00DD3956" w:rsidP="00597A91">
      <w:pPr>
        <w:pStyle w:val="Heading1"/>
        <w:spacing w:before="60"/>
        <w:ind w:left="5103"/>
        <w:jc w:val="right"/>
        <w:rPr>
          <w:b w:val="0"/>
          <w:sz w:val="22"/>
          <w:szCs w:val="24"/>
        </w:rPr>
      </w:pPr>
      <w:r w:rsidRPr="00597A91">
        <w:rPr>
          <w:b w:val="0"/>
          <w:noProof/>
          <w:sz w:val="22"/>
          <w:szCs w:val="24"/>
          <w:lang w:eastAsia="lv-LV"/>
        </w:rPr>
        <w:t xml:space="preserve">Nolikuma </w:t>
      </w:r>
      <w:r w:rsidR="00A178B3">
        <w:rPr>
          <w:b w:val="0"/>
          <w:noProof/>
          <w:sz w:val="22"/>
          <w:szCs w:val="24"/>
          <w:lang w:eastAsia="lv-LV"/>
        </w:rPr>
        <w:t>4</w:t>
      </w:r>
      <w:r w:rsidRPr="00597A91">
        <w:rPr>
          <w:b w:val="0"/>
          <w:sz w:val="22"/>
          <w:szCs w:val="24"/>
        </w:rPr>
        <w:t>. pielikums</w:t>
      </w:r>
    </w:p>
    <w:p w14:paraId="691B7387" w14:textId="77777777" w:rsidR="00327D54" w:rsidRPr="00597A91" w:rsidRDefault="00327D54" w:rsidP="00A63ED7">
      <w:pPr>
        <w:spacing w:before="60"/>
        <w:ind w:left="6300" w:right="-1" w:hanging="360"/>
      </w:pPr>
    </w:p>
    <w:p w14:paraId="5D2BE180" w14:textId="3D67E32E" w:rsidR="00327D54" w:rsidRPr="00597A91" w:rsidRDefault="00AB1AE9" w:rsidP="00A63ED7">
      <w:pPr>
        <w:shd w:val="clear" w:color="auto" w:fill="FFFFFF"/>
        <w:spacing w:before="60"/>
        <w:ind w:left="6" w:right="-1"/>
        <w:jc w:val="center"/>
        <w:rPr>
          <w:b/>
          <w:sz w:val="28"/>
        </w:rPr>
      </w:pPr>
      <w:bookmarkStart w:id="0" w:name="_GoBack"/>
      <w:bookmarkEnd w:id="0"/>
      <w:r w:rsidRPr="00597A91">
        <w:rPr>
          <w:b/>
          <w:sz w:val="28"/>
        </w:rPr>
        <w:t xml:space="preserve">UZŅĒMUMA </w:t>
      </w:r>
      <w:r w:rsidR="000F372F" w:rsidRPr="00597A91">
        <w:rPr>
          <w:b/>
          <w:sz w:val="28"/>
        </w:rPr>
        <w:t>LĪGUM</w:t>
      </w:r>
      <w:r w:rsidRPr="00597A91">
        <w:rPr>
          <w:b/>
          <w:sz w:val="28"/>
        </w:rPr>
        <w:t>S</w:t>
      </w:r>
      <w:r w:rsidR="000F372F" w:rsidRPr="00597A91">
        <w:rPr>
          <w:b/>
          <w:sz w:val="28"/>
        </w:rPr>
        <w:t xml:space="preserve"> </w:t>
      </w:r>
      <w:r w:rsidRPr="00597A91">
        <w:rPr>
          <w:i/>
          <w:sz w:val="28"/>
        </w:rPr>
        <w:t>(</w:t>
      </w:r>
      <w:r w:rsidR="000F372F" w:rsidRPr="00597A91">
        <w:rPr>
          <w:i/>
          <w:sz w:val="28"/>
        </w:rPr>
        <w:t>PROJEKTS</w:t>
      </w:r>
      <w:r w:rsidRPr="00597A91">
        <w:rPr>
          <w:i/>
          <w:sz w:val="28"/>
        </w:rPr>
        <w:t>)</w:t>
      </w:r>
    </w:p>
    <w:p w14:paraId="55832B95" w14:textId="49EF2145" w:rsidR="009B57F2" w:rsidRPr="00A178B3" w:rsidRDefault="00597A91" w:rsidP="00A63ED7">
      <w:pPr>
        <w:shd w:val="clear" w:color="auto" w:fill="FFFFFF"/>
        <w:spacing w:before="60"/>
        <w:ind w:left="6" w:right="-1"/>
        <w:jc w:val="center"/>
        <w:rPr>
          <w:b/>
          <w:sz w:val="28"/>
          <w:szCs w:val="28"/>
        </w:rPr>
      </w:pPr>
      <w:r w:rsidRPr="00A178B3">
        <w:rPr>
          <w:b/>
          <w:sz w:val="28"/>
          <w:szCs w:val="28"/>
        </w:rPr>
        <w:t>p</w:t>
      </w:r>
      <w:r w:rsidR="009B57F2" w:rsidRPr="00A178B3">
        <w:rPr>
          <w:b/>
          <w:sz w:val="28"/>
          <w:szCs w:val="28"/>
        </w:rPr>
        <w:t xml:space="preserve">ar </w:t>
      </w:r>
      <w:r w:rsidR="00A178B3">
        <w:rPr>
          <w:b/>
          <w:bCs/>
          <w:color w:val="000000"/>
          <w:kern w:val="36"/>
          <w:sz w:val="28"/>
          <w:szCs w:val="28"/>
        </w:rPr>
        <w:t>m</w:t>
      </w:r>
      <w:r w:rsidR="00A178B3" w:rsidRPr="00A178B3">
        <w:rPr>
          <w:b/>
          <w:bCs/>
          <w:color w:val="000000"/>
          <w:kern w:val="36"/>
          <w:sz w:val="28"/>
          <w:szCs w:val="28"/>
        </w:rPr>
        <w:t xml:space="preserve">emoriāla Otrā pasaules kara upuriem Biķerniekos </w:t>
      </w:r>
      <w:r w:rsidR="00A178B3" w:rsidRPr="00A178B3">
        <w:rPr>
          <w:b/>
          <w:sz w:val="28"/>
          <w:szCs w:val="28"/>
        </w:rPr>
        <w:t>betona stabu atjaunošan</w:t>
      </w:r>
      <w:r w:rsidR="00A178B3" w:rsidRPr="00A178B3">
        <w:rPr>
          <w:b/>
          <w:sz w:val="28"/>
          <w:szCs w:val="28"/>
        </w:rPr>
        <w:t>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00C90147" w:rsidR="00776036" w:rsidRPr="00597A91" w:rsidRDefault="00776036" w:rsidP="00A63ED7">
      <w:pPr>
        <w:pStyle w:val="BodyTextIndent"/>
        <w:spacing w:before="96"/>
        <w:ind w:left="0" w:right="-1" w:firstLine="720"/>
        <w:jc w:val="both"/>
      </w:pPr>
      <w:r w:rsidRPr="00597A91">
        <w:rPr>
          <w:b/>
        </w:rPr>
        <w:t>Rīgas pašvaldības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2011.gada 1.marta saistošo noteikumu Nr.114 “Rīgas </w:t>
      </w:r>
      <w:r w:rsidR="00251CD0" w:rsidRPr="00597A91">
        <w:t>valsts</w:t>
      </w:r>
      <w:r w:rsidRPr="00597A91">
        <w:t>pilsētas pašvaldības nolikums” 110.punktu 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29C94A7A" w:rsidR="00327D54" w:rsidRPr="00597A91" w:rsidRDefault="000F372F" w:rsidP="00A63ED7">
      <w:pPr>
        <w:spacing w:before="60"/>
        <w:ind w:right="-1" w:firstLine="720"/>
        <w:jc w:val="both"/>
      </w:pPr>
      <w:r w:rsidRPr="00597A91">
        <w:rPr>
          <w:b/>
        </w:rPr>
        <w:t>&lt;</w:t>
      </w:r>
      <w:r w:rsidR="00EE4985" w:rsidRPr="00597A91">
        <w:rPr>
          <w:b/>
          <w:i/>
        </w:rPr>
        <w:t>Izpildītāj</w:t>
      </w:r>
      <w:r w:rsidRPr="00597A91">
        <w:rPr>
          <w:b/>
          <w:i/>
        </w:rPr>
        <w:t>a nosaukums</w:t>
      </w:r>
      <w:r w:rsidRPr="00597A91">
        <w:rPr>
          <w:b/>
        </w:rPr>
        <w:t>&gt;</w:t>
      </w:r>
      <w:r w:rsidRPr="00597A91">
        <w:t>, reģistrācijas numurs &lt;</w:t>
      </w:r>
      <w:r w:rsidRPr="00597A91">
        <w:rPr>
          <w:i/>
        </w:rPr>
        <w:t>reģistrācijas numurs</w:t>
      </w:r>
      <w:r w:rsidR="002C41D6">
        <w:t xml:space="preserve">&gt;, būvkomersanta </w:t>
      </w:r>
      <w:r w:rsidR="002C41D6" w:rsidRPr="00597A91">
        <w:t>reģistrācijas numurs &lt;</w:t>
      </w:r>
      <w:r w:rsidR="002C41D6" w:rsidRPr="002C41D6">
        <w:t xml:space="preserve"> </w:t>
      </w:r>
      <w:r w:rsidR="002C41D6" w:rsidRPr="002C41D6">
        <w:rPr>
          <w:i/>
        </w:rPr>
        <w:t>būvkomersanta</w:t>
      </w:r>
      <w:r w:rsidR="002C41D6">
        <w:t xml:space="preserve"> </w:t>
      </w:r>
      <w:r w:rsidR="002C41D6" w:rsidRPr="00597A91">
        <w:rPr>
          <w:i/>
        </w:rPr>
        <w:t>reģistrācijas numurs</w:t>
      </w:r>
      <w:r w:rsidR="002C41D6" w:rsidRPr="00597A91">
        <w:t>&gt;</w:t>
      </w:r>
      <w:r w:rsidR="002C41D6">
        <w:t xml:space="preserve">, </w:t>
      </w:r>
      <w:r w:rsidRPr="00597A91">
        <w:t>tā &lt;</w:t>
      </w:r>
      <w:r w:rsidRPr="00597A91">
        <w:rPr>
          <w:i/>
        </w:rPr>
        <w:t>pilnvarotās personas amats, vārds, uzvārds</w:t>
      </w:r>
      <w:r w:rsidRPr="00597A91">
        <w:t>&gt; personā, kura rīkojas saskaņā ar &lt;</w:t>
      </w:r>
      <w:r w:rsidRPr="00597A91">
        <w:rPr>
          <w:i/>
        </w:rPr>
        <w:t>pilnvarojošā dokumenta nosaukums</w:t>
      </w:r>
      <w:r w:rsidRPr="00597A91">
        <w:t xml:space="preserve">&gt; (turpmāk – </w:t>
      </w:r>
      <w:r w:rsidR="00EE4985" w:rsidRPr="00597A91">
        <w:rPr>
          <w:b/>
        </w:rPr>
        <w:t>Izpildītāj</w:t>
      </w:r>
      <w:r w:rsidRPr="00597A91">
        <w:rPr>
          <w:b/>
        </w:rPr>
        <w:t>s</w:t>
      </w:r>
      <w:r w:rsidRPr="00597A91">
        <w:t>), no otras puses,</w:t>
      </w:r>
    </w:p>
    <w:p w14:paraId="27FB9E2E" w14:textId="1CC2AAD3"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178B3">
        <w:t>Pasūtītāja</w:t>
      </w:r>
      <w:r w:rsidRPr="00A178B3">
        <w:t xml:space="preserve"> rīkotā iepirkuma Nr. </w:t>
      </w:r>
      <w:r w:rsidR="00EE4985" w:rsidRPr="00A178B3">
        <w:t xml:space="preserve">PA </w:t>
      </w:r>
      <w:r w:rsidRPr="00A178B3">
        <w:t>R</w:t>
      </w:r>
      <w:r w:rsidR="00DD03F9" w:rsidRPr="00A178B3">
        <w:t>PA</w:t>
      </w:r>
      <w:r w:rsidRPr="00A178B3">
        <w:t xml:space="preserve"> 202</w:t>
      </w:r>
      <w:r w:rsidR="009C3EC3" w:rsidRPr="00A178B3">
        <w:t>3</w:t>
      </w:r>
      <w:r w:rsidRPr="00A178B3">
        <w:t>/</w:t>
      </w:r>
      <w:r w:rsidR="00A178B3" w:rsidRPr="00A178B3">
        <w:t>7</w:t>
      </w:r>
      <w:r w:rsidRPr="00A178B3">
        <w:t xml:space="preserve"> „</w:t>
      </w:r>
      <w:r w:rsidR="00A178B3" w:rsidRPr="00A178B3">
        <w:rPr>
          <w:bCs/>
          <w:color w:val="000000"/>
          <w:kern w:val="36"/>
        </w:rPr>
        <w:t xml:space="preserve">Memoriāla Otrā pasaules kara upuriem Biķerniekos </w:t>
      </w:r>
      <w:r w:rsidR="00A178B3" w:rsidRPr="00A178B3">
        <w:t>betona stabu atjaunošana</w:t>
      </w:r>
      <w:r w:rsidRPr="00A178B3">
        <w:t>”</w:t>
      </w:r>
      <w:r w:rsidRPr="00597A91">
        <w:t xml:space="preserve"> (turpmāk - Iepirkums),</w:t>
      </w:r>
      <w:r w:rsidRPr="00597A91">
        <w:rPr>
          <w:i/>
        </w:rPr>
        <w:t xml:space="preserve"> </w:t>
      </w:r>
      <w:r w:rsidRPr="00597A91">
        <w:t xml:space="preserve">rezultātiem un </w:t>
      </w:r>
      <w:r w:rsidR="00EE4985" w:rsidRPr="00597A91">
        <w:t>Izpildītāj</w:t>
      </w:r>
      <w:r w:rsidRPr="00597A91">
        <w:t>a iesniegto Piedāvājumu iepirkumam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4545BF40"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EE4A54" w:rsidRPr="00A178B3">
        <w:rPr>
          <w:bCs/>
        </w:rPr>
        <w:t xml:space="preserve"> </w:t>
      </w:r>
      <w:r w:rsidR="00A178B3" w:rsidRPr="00A178B3">
        <w:rPr>
          <w:bCs/>
          <w:color w:val="000000"/>
          <w:kern w:val="36"/>
        </w:rPr>
        <w:t xml:space="preserve">Memoriāla Otrā pasaules kara upuriem Biķerniekos </w:t>
      </w:r>
      <w:r w:rsidR="00A178B3" w:rsidRPr="00A178B3">
        <w:t>betona stabu atjaunošan</w:t>
      </w:r>
      <w:r w:rsidR="00A178B3" w:rsidRPr="00A178B3">
        <w:t>u</w:t>
      </w:r>
      <w:r w:rsidR="00EE4A54" w:rsidRPr="00597A91">
        <w:t xml:space="preserve">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1" w:name="_xvir7l" w:colFirst="0" w:colLast="0"/>
      <w:bookmarkEnd w:id="1"/>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7A074C3D" w:rsidR="0095390F" w:rsidRPr="00597A91" w:rsidRDefault="0095390F" w:rsidP="00A63ED7">
      <w:pPr>
        <w:numPr>
          <w:ilvl w:val="3"/>
          <w:numId w:val="3"/>
        </w:numPr>
        <w:tabs>
          <w:tab w:val="left" w:pos="1701"/>
        </w:tabs>
        <w:spacing w:before="60"/>
        <w:ind w:left="1997" w:right="-1" w:hanging="10"/>
        <w:jc w:val="both"/>
      </w:pPr>
      <w:r w:rsidRPr="00597A91">
        <w:t>Tehniskā specifikācija;</w:t>
      </w:r>
    </w:p>
    <w:p w14:paraId="076501A4" w14:textId="3D43BAA2" w:rsidR="00327D54" w:rsidRPr="00597A91" w:rsidRDefault="00A178B3" w:rsidP="00A63ED7">
      <w:pPr>
        <w:numPr>
          <w:ilvl w:val="3"/>
          <w:numId w:val="3"/>
        </w:numPr>
        <w:tabs>
          <w:tab w:val="left" w:pos="1701"/>
        </w:tabs>
        <w:spacing w:before="60"/>
        <w:ind w:left="1997" w:right="-1" w:hanging="10"/>
        <w:jc w:val="both"/>
      </w:pPr>
      <w:r>
        <w:t>Novietnes plāns</w:t>
      </w:r>
      <w:r w:rsidR="000F372F" w:rsidRPr="00597A91">
        <w:t>;</w:t>
      </w:r>
    </w:p>
    <w:p w14:paraId="48FCB690" w14:textId="20C7D362" w:rsidR="00327D54" w:rsidRPr="00597A91" w:rsidRDefault="00DD03F9" w:rsidP="00A63ED7">
      <w:pPr>
        <w:numPr>
          <w:ilvl w:val="3"/>
          <w:numId w:val="3"/>
        </w:numPr>
        <w:tabs>
          <w:tab w:val="left" w:pos="1701"/>
        </w:tabs>
        <w:spacing w:before="60"/>
        <w:ind w:left="1997" w:right="-1" w:hanging="10"/>
        <w:jc w:val="both"/>
      </w:pPr>
      <w:r w:rsidRPr="00597A91">
        <w:t>P</w:t>
      </w:r>
      <w:r w:rsidR="000F372F" w:rsidRPr="00597A91">
        <w:t>ie</w:t>
      </w:r>
      <w:r w:rsidRPr="00597A91">
        <w:t>teiku</w:t>
      </w:r>
      <w:r w:rsidR="000F372F" w:rsidRPr="00597A91">
        <w:t>ms</w:t>
      </w:r>
      <w:r w:rsidRPr="00597A91">
        <w:t xml:space="preserve"> iepirkumam</w:t>
      </w:r>
      <w:r w:rsidR="0095390F" w:rsidRPr="00597A91">
        <w:t>.</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2" w:name="_3hv69ve" w:colFirst="0" w:colLast="0"/>
      <w:bookmarkEnd w:id="2"/>
      <w:r w:rsidRPr="00597A91">
        <w:rPr>
          <w:b/>
        </w:rPr>
        <w:lastRenderedPageBreak/>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6419F5E4" w:rsidR="00DE2EC2" w:rsidRPr="00DE2EC2" w:rsidRDefault="00DE2EC2" w:rsidP="00A63ED7">
      <w:pPr>
        <w:numPr>
          <w:ilvl w:val="1"/>
          <w:numId w:val="3"/>
        </w:numPr>
        <w:spacing w:before="60"/>
        <w:ind w:left="567" w:right="-1" w:hanging="567"/>
        <w:jc w:val="both"/>
      </w:pPr>
      <w:r w:rsidRPr="00DE2EC2">
        <w:t xml:space="preserve">PVN maksājumus veic </w:t>
      </w:r>
      <w:r w:rsidR="00A178B3">
        <w:t xml:space="preserve">papildus </w:t>
      </w:r>
      <w:r w:rsidRPr="00DE2EC2">
        <w:t>saskaņā ar Pievienotās vērtības nodokļa likum</w:t>
      </w:r>
      <w:r w:rsidR="00A178B3">
        <w:t>u</w:t>
      </w:r>
      <w:r w:rsidRPr="00DE2EC2">
        <w:t>.</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3" w:name="_1x0gk37" w:colFirst="0" w:colLast="0"/>
      <w:bookmarkEnd w:id="3"/>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0223D91E" w14:textId="31C40F45"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597A91">
        <w:t>Izpildītāj</w:t>
      </w:r>
      <w:r w:rsidRPr="00597A91">
        <w:t xml:space="preserve">s </w:t>
      </w:r>
      <w:r w:rsidRPr="00597A91">
        <w:rPr>
          <w:bCs/>
        </w:rPr>
        <w:t>Darbu</w:t>
      </w:r>
      <w:r w:rsidR="00662143" w:rsidRPr="00597A91">
        <w:rPr>
          <w:bCs/>
        </w:rPr>
        <w:t>s</w:t>
      </w:r>
      <w:r w:rsidRPr="00597A91">
        <w:rPr>
          <w:bCs/>
        </w:rPr>
        <w:t xml:space="preserve"> apņemas pabeigt </w:t>
      </w:r>
      <w:r w:rsidR="00A178B3">
        <w:rPr>
          <w:bCs/>
        </w:rPr>
        <w:t xml:space="preserve">sešu nedēļu laikā no līguma noslēgšanas - </w:t>
      </w:r>
      <w:r w:rsidRPr="00597A91">
        <w:rPr>
          <w:bCs/>
        </w:rPr>
        <w:t xml:space="preserve">līdz </w:t>
      </w:r>
      <w:r w:rsidR="00326FA2" w:rsidRPr="00597A91">
        <w:rPr>
          <w:bCs/>
        </w:rPr>
        <w:t>202</w:t>
      </w:r>
      <w:r w:rsidR="009C3EC3" w:rsidRPr="00597A91">
        <w:rPr>
          <w:bCs/>
        </w:rPr>
        <w:t>3</w:t>
      </w:r>
      <w:r w:rsidR="00326FA2" w:rsidRPr="00597A91">
        <w:rPr>
          <w:bCs/>
        </w:rPr>
        <w:t>.</w:t>
      </w:r>
      <w:r w:rsidR="00662143" w:rsidRPr="00597A91">
        <w:rPr>
          <w:bCs/>
        </w:rPr>
        <w:t xml:space="preserve"> </w:t>
      </w:r>
      <w:r w:rsidR="00326FA2" w:rsidRPr="00597A91">
        <w:rPr>
          <w:bCs/>
        </w:rPr>
        <w:t xml:space="preserve">gada </w:t>
      </w:r>
      <w:r w:rsidR="00A178B3">
        <w:rPr>
          <w:bCs/>
        </w:rPr>
        <w:t>_____________</w:t>
      </w:r>
      <w:r w:rsidR="00662143" w:rsidRPr="00597A91">
        <w:rPr>
          <w:bCs/>
        </w:rPr>
        <w:t xml:space="preserve">; </w:t>
      </w:r>
      <w:r w:rsidR="0073555D" w:rsidRPr="00597A91">
        <w:rPr>
          <w:bCs/>
        </w:rPr>
        <w:t xml:space="preserve">kopējais līguma izpildes termiņš </w:t>
      </w:r>
      <w:r w:rsidR="00662143" w:rsidRPr="00597A91">
        <w:rPr>
          <w:bCs/>
        </w:rPr>
        <w:t>(</w:t>
      </w:r>
      <w:r w:rsidR="005237EF">
        <w:rPr>
          <w:bCs/>
        </w:rPr>
        <w:t>atjaunošanas/</w:t>
      </w:r>
      <w:r w:rsidR="00662143" w:rsidRPr="00597A91">
        <w:rPr>
          <w:bCs/>
        </w:rPr>
        <w:t>restaurācijas dokumentācijas sagatavošana) – līdz 202</w:t>
      </w:r>
      <w:r w:rsidR="009C3EC3" w:rsidRPr="00597A91">
        <w:rPr>
          <w:bCs/>
        </w:rPr>
        <w:t>3</w:t>
      </w:r>
      <w:r w:rsidR="00662143" w:rsidRPr="00597A91">
        <w:rPr>
          <w:bCs/>
        </w:rPr>
        <w:t xml:space="preserve">. gada </w:t>
      </w:r>
      <w:r w:rsidR="00490F6C" w:rsidRPr="00597A91">
        <w:rPr>
          <w:bCs/>
        </w:rPr>
        <w:t>31. augusta</w:t>
      </w:r>
      <w:r w:rsidR="00662143" w:rsidRPr="00597A91">
        <w:rPr>
          <w:bCs/>
        </w:rPr>
        <w:t>m</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57DA3FDC"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lastRenderedPageBreak/>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77777777" w:rsidR="00327D54" w:rsidRPr="00597A91" w:rsidRDefault="000F372F" w:rsidP="00A63ED7">
      <w:pPr>
        <w:numPr>
          <w:ilvl w:val="2"/>
          <w:numId w:val="3"/>
        </w:numPr>
        <w:spacing w:before="60"/>
        <w:ind w:left="709" w:right="-1" w:hanging="709"/>
        <w:jc w:val="both"/>
      </w:pPr>
      <w:r w:rsidRPr="00597A91">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lastRenderedPageBreak/>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4" w:name="_4h042r0" w:colFirst="0" w:colLast="0"/>
      <w:bookmarkEnd w:id="4"/>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1EA507B0"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lastRenderedPageBreak/>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5" w:name="_2w5ecyt" w:colFirst="0" w:colLast="0"/>
      <w:bookmarkEnd w:id="5"/>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4D6BB7F2" w14:textId="0F02CD34" w:rsidR="00327D54" w:rsidRPr="00597A91" w:rsidRDefault="008F0AA1" w:rsidP="00A63ED7">
      <w:pPr>
        <w:numPr>
          <w:ilvl w:val="2"/>
          <w:numId w:val="3"/>
        </w:numPr>
        <w:spacing w:before="60"/>
        <w:ind w:left="709" w:right="-1" w:hanging="709"/>
        <w:jc w:val="both"/>
        <w:rPr>
          <w:rStyle w:val="FontStyle79"/>
        </w:rPr>
      </w:pPr>
      <w:bookmarkStart w:id="6" w:name="_1baon6m" w:colFirst="0" w:colLast="0"/>
      <w:bookmarkEnd w:id="6"/>
      <w:r w:rsidRPr="00597A91">
        <w:t>noslēguma</w:t>
      </w:r>
      <w:r w:rsidR="000F372F" w:rsidRPr="00597A91">
        <w:t xml:space="preserve"> maksājums</w:t>
      </w:r>
      <w:r w:rsidR="009A24EE" w:rsidRPr="00597A91">
        <w:t xml:space="preserve"> </w:t>
      </w:r>
      <w:r w:rsidR="00A178B3">
        <w:t>(</w:t>
      </w:r>
      <w:r w:rsidR="00BC6905" w:rsidRPr="00597A91">
        <w:t>atlikusī summa</w:t>
      </w:r>
      <w:r w:rsidR="00A178B3">
        <w:t>)</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yperlink"/>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yperlink"/>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yperlink"/>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7" w:name="_3vac5uf" w:colFirst="0" w:colLast="0"/>
      <w:bookmarkEnd w:id="7"/>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w:t>
      </w:r>
      <w:r w:rsidRPr="00597A91">
        <w:lastRenderedPageBreak/>
        <w:t xml:space="preserve">(vai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8" w:name="_2afmg28" w:colFirst="0" w:colLast="0"/>
      <w:bookmarkEnd w:id="8"/>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32FD0ABF"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w:t>
      </w:r>
      <w:r w:rsidR="00EE4985" w:rsidRPr="00597A91">
        <w:t>Izpildītāj</w:t>
      </w:r>
      <w:r w:rsidRPr="00597A91">
        <w:t>s</w:t>
      </w:r>
      <w:r w:rsidR="00043EE0" w:rsidRPr="00597A91">
        <w:t xml:space="preserve"> izslēgts no būvkomersantu reģistra,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w:t>
      </w:r>
      <w:r w:rsidRPr="00597A91">
        <w:lastRenderedPageBreak/>
        <w:t xml:space="preserve">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 xml:space="preserve">Tehniskajā </w:t>
      </w:r>
      <w:r w:rsidR="00C913E5" w:rsidRPr="00597A91">
        <w:lastRenderedPageBreak/>
        <w:t>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52306B87" w14:textId="3F7DA69E" w:rsidR="003800FB" w:rsidRPr="00597A91" w:rsidRDefault="003800FB" w:rsidP="00A63ED7">
      <w:pPr>
        <w:numPr>
          <w:ilvl w:val="2"/>
          <w:numId w:val="3"/>
        </w:numPr>
        <w:tabs>
          <w:tab w:val="left" w:pos="567"/>
        </w:tabs>
        <w:spacing w:before="60"/>
        <w:ind w:left="1287" w:right="-1"/>
        <w:jc w:val="both"/>
      </w:pPr>
      <w:r w:rsidRPr="00597A91">
        <w:t>Tehniskā specifikācija uz ____ lapām;</w:t>
      </w:r>
    </w:p>
    <w:p w14:paraId="1C32D614" w14:textId="5E39CB8F" w:rsidR="00327D54" w:rsidRPr="00597A91" w:rsidRDefault="00A178B3" w:rsidP="00A63ED7">
      <w:pPr>
        <w:numPr>
          <w:ilvl w:val="2"/>
          <w:numId w:val="3"/>
        </w:numPr>
        <w:tabs>
          <w:tab w:val="left" w:pos="567"/>
        </w:tabs>
        <w:spacing w:before="60"/>
        <w:ind w:left="1287" w:right="-1"/>
        <w:jc w:val="both"/>
      </w:pPr>
      <w:r>
        <w:t>Novietnes plāns</w:t>
      </w:r>
      <w:r w:rsidR="000F372F" w:rsidRPr="00597A91">
        <w:t xml:space="preserve"> uz </w:t>
      </w:r>
      <w:r>
        <w:t>1</w:t>
      </w:r>
      <w:r w:rsidR="000F372F" w:rsidRPr="00597A91">
        <w:t xml:space="preserve"> lap</w:t>
      </w:r>
      <w:r>
        <w:t>as</w:t>
      </w:r>
      <w:r w:rsidR="000F372F" w:rsidRPr="00597A91">
        <w:t>;</w:t>
      </w:r>
    </w:p>
    <w:p w14:paraId="654B814C" w14:textId="5C74A17E" w:rsidR="00327D54" w:rsidRPr="00597A91" w:rsidRDefault="00781070" w:rsidP="00A63ED7">
      <w:pPr>
        <w:numPr>
          <w:ilvl w:val="2"/>
          <w:numId w:val="3"/>
        </w:numPr>
        <w:tabs>
          <w:tab w:val="left" w:pos="567"/>
        </w:tabs>
        <w:spacing w:before="60"/>
        <w:ind w:left="1287" w:right="-1"/>
        <w:jc w:val="both"/>
      </w:pPr>
      <w:r w:rsidRPr="00597A91">
        <w:t>Pieteikums iepirkumam</w:t>
      </w:r>
      <w:r w:rsidR="000F372F" w:rsidRPr="00597A91">
        <w:t xml:space="preserve"> uz _____ lapām;</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BodyTextIndent"/>
              <w:autoSpaceDE w:val="0"/>
              <w:spacing w:after="0"/>
              <w:ind w:left="34" w:right="-1"/>
              <w:rPr>
                <w:b/>
                <w:bCs/>
              </w:rPr>
            </w:pPr>
            <w:r w:rsidRPr="00597A91">
              <w:rPr>
                <w:b/>
              </w:rPr>
              <w:t>Pasūtītājs:</w:t>
            </w:r>
          </w:p>
          <w:p w14:paraId="71B81786" w14:textId="6FA8E60F" w:rsidR="00292170" w:rsidRPr="00597A91" w:rsidRDefault="00292170" w:rsidP="00A63ED7">
            <w:pPr>
              <w:pStyle w:val="BodyTextIndent"/>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BodyTextIndent"/>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BodyTextIndent"/>
              <w:autoSpaceDE w:val="0"/>
              <w:spacing w:after="0"/>
              <w:ind w:left="34" w:right="-1"/>
            </w:pPr>
            <w:r w:rsidRPr="00597A91">
              <w:t>Gaujas iela 19A, Rīga, LV-1026</w:t>
            </w:r>
          </w:p>
          <w:p w14:paraId="449CE2B0" w14:textId="77777777" w:rsidR="00292170" w:rsidRPr="00597A91" w:rsidRDefault="00292170" w:rsidP="00A63ED7">
            <w:pPr>
              <w:pStyle w:val="BodyTextIndent"/>
              <w:autoSpaceDE w:val="0"/>
              <w:spacing w:after="0"/>
              <w:ind w:left="34" w:right="-1"/>
            </w:pPr>
            <w:r w:rsidRPr="00597A91">
              <w:t>Norēķinu rekvizīti:</w:t>
            </w:r>
          </w:p>
          <w:p w14:paraId="51B15E6A" w14:textId="350982AE" w:rsidR="00292170" w:rsidRPr="00597A91" w:rsidRDefault="00292170" w:rsidP="00A63ED7">
            <w:pPr>
              <w:pStyle w:val="BodyTextIndent"/>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BodyTextIndent"/>
              <w:autoSpaceDE w:val="0"/>
              <w:spacing w:after="0"/>
              <w:ind w:left="34" w:right="-1"/>
            </w:pPr>
            <w:r w:rsidRPr="00597A91">
              <w:t>Rātslaukums 1, Rīga, LV-1050</w:t>
            </w:r>
          </w:p>
          <w:p w14:paraId="7470FB97" w14:textId="594F4152" w:rsidR="00292170" w:rsidRPr="00597A91" w:rsidRDefault="00292170" w:rsidP="00A63ED7">
            <w:pPr>
              <w:pStyle w:val="BodyTextIndent"/>
              <w:autoSpaceDE w:val="0"/>
              <w:spacing w:after="0"/>
              <w:ind w:left="34" w:right="-1"/>
            </w:pPr>
            <w:r w:rsidRPr="00597A91">
              <w:t>NMR kods 90011524360</w:t>
            </w:r>
          </w:p>
          <w:p w14:paraId="5089BC95" w14:textId="6AB8174B" w:rsidR="00324AFF" w:rsidRPr="00597A91" w:rsidRDefault="00324AFF" w:rsidP="00A63ED7">
            <w:pPr>
              <w:pStyle w:val="BodyTextIndent"/>
              <w:autoSpaceDE w:val="0"/>
              <w:spacing w:after="0"/>
              <w:ind w:left="34" w:right="-1"/>
            </w:pPr>
            <w:r w:rsidRPr="00597A91">
              <w:t xml:space="preserve">PVN </w:t>
            </w:r>
            <w:proofErr w:type="spellStart"/>
            <w:r w:rsidRPr="00597A91">
              <w:t>reģ</w:t>
            </w:r>
            <w:proofErr w:type="spellEnd"/>
            <w:r w:rsidRPr="00597A91">
              <w:t>. Nr. LV90011524360</w:t>
            </w:r>
          </w:p>
          <w:p w14:paraId="3ADD5913" w14:textId="77777777" w:rsidR="00CA0C57" w:rsidRPr="00597A91" w:rsidRDefault="00CA0C57" w:rsidP="00CA0C57">
            <w:r w:rsidRPr="00597A91">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 Latvijas filiāle, RIKOLV2X</w:t>
            </w:r>
          </w:p>
          <w:p w14:paraId="590D84B1" w14:textId="58AF0664" w:rsidR="00292170" w:rsidRPr="00597A91" w:rsidRDefault="00CA0C57" w:rsidP="00CA0C57">
            <w:pPr>
              <w:pStyle w:val="BodyTextIndent"/>
              <w:autoSpaceDE w:val="0"/>
              <w:spacing w:after="0"/>
              <w:ind w:left="34" w:right="-1"/>
            </w:pPr>
            <w:r w:rsidRPr="00597A91">
              <w:t>Konta Nr. LV97RIKO0021300023010</w:t>
            </w:r>
          </w:p>
          <w:p w14:paraId="3738829B" w14:textId="3813B62F" w:rsidR="00292170" w:rsidRPr="00597A91" w:rsidRDefault="00292170" w:rsidP="009B57F2">
            <w:pPr>
              <w:ind w:right="-1"/>
            </w:pPr>
            <w:r w:rsidRPr="00597A91">
              <w:t>RD iestādes kods: 233</w:t>
            </w:r>
          </w:p>
          <w:p w14:paraId="0DF7562B" w14:textId="79443E8F" w:rsidR="00292170" w:rsidRPr="00597A91" w:rsidRDefault="009B57F2" w:rsidP="00A63ED7">
            <w:pPr>
              <w:pStyle w:val="BodyTextIndent"/>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F596D" w14:textId="77777777" w:rsidR="0089301C" w:rsidRDefault="0089301C">
      <w:r>
        <w:separator/>
      </w:r>
    </w:p>
  </w:endnote>
  <w:endnote w:type="continuationSeparator" w:id="0">
    <w:p w14:paraId="005BEDA9" w14:textId="77777777" w:rsidR="0089301C" w:rsidRDefault="0089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8293772"/>
      <w:docPartObj>
        <w:docPartGallery w:val="Page Numbers (Bottom of Page)"/>
        <w:docPartUnique/>
      </w:docPartObj>
    </w:sdtPr>
    <w:sdtEndPr>
      <w:rPr>
        <w:rStyle w:val="PageNumber"/>
      </w:rPr>
    </w:sdtEndPr>
    <w:sdtContent>
      <w:p w14:paraId="25A1784D" w14:textId="04C9AEA9"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4A54">
          <w:rPr>
            <w:rStyle w:val="PageNumber"/>
            <w:noProof/>
          </w:rPr>
          <w:t>10</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090F" w14:textId="77777777" w:rsidR="0089301C" w:rsidRDefault="0089301C">
      <w:r>
        <w:separator/>
      </w:r>
    </w:p>
  </w:footnote>
  <w:footnote w:type="continuationSeparator" w:id="0">
    <w:p w14:paraId="21799777" w14:textId="77777777" w:rsidR="0089301C" w:rsidRDefault="0089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237EF"/>
    <w:rsid w:val="00542116"/>
    <w:rsid w:val="005421AA"/>
    <w:rsid w:val="00553702"/>
    <w:rsid w:val="00582F91"/>
    <w:rsid w:val="005966A6"/>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F9D8-9569-5742-8CF0-79554934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3</cp:revision>
  <dcterms:created xsi:type="dcterms:W3CDTF">2023-05-23T20:26:00Z</dcterms:created>
  <dcterms:modified xsi:type="dcterms:W3CDTF">2023-05-23T20:27:00Z</dcterms:modified>
  <cp:category/>
</cp:coreProperties>
</file>